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320" w:line="276" w:lineRule="auto"/>
        <w:jc w:val="center"/>
        <w:pBdr>
          <w:top w:val="dashed" w:sz="4" w:space="6" w:color="BBBBBB"/>
          <w:left w:val="dashed" w:sz="4" w:space="6" w:color="BBBBBB"/>
          <w:bottom w:val="dashed" w:sz="4" w:space="6" w:color="BBBBBB"/>
          <w:right w:val="dashed" w:sz="4" w:space="6" w:color="BBBBBB"/>
        </w:pBdr>
      </w:pPr>
      <w:r>
        <w:rPr>
          <w:rFonts w:ascii="Georgia" w:hAnsi="Georgia"/>
          <w:i/>
          <w:color w:val="888888"/>
          <w:sz w:val="20"/>
        </w:rPr>
        <w:t xml:space="preserve">[ Your clinic name, logo, and phone number here ]</w:t>
      </w:r>
    </w:p>
    <w:p>
      <w:pPr>
        <w:spacing w:before="0" w:after="60" w:line="276" w:lineRule="auto"/>
      </w:pPr>
      <w:r>
        <w:rPr>
          <w:rFonts w:ascii="Georgia" w:hAnsi="Georgia"/>
          <w:b/>
          <w:color w:val="1A1714"/>
          <w:sz w:val="40"/>
        </w:rPr>
        <w:t xml:space="preserve">When Caring for Your Pet Feels Like Too Much</w:t>
      </w:r>
    </w:p>
    <w:p>
      <w:pPr>
        <w:spacing w:before="0" w:after="240" w:line="276" w:lineRule="auto"/>
      </w:pPr>
      <w:r>
        <w:rPr>
          <w:rFonts w:ascii="Georgia" w:hAnsi="Georgia"/>
          <w:i/>
          <w:color w:val="555555"/>
          <w:sz w:val="24"/>
        </w:rPr>
        <w:t xml:space="preserve">Resources for the person behind the patient</w:t>
      </w:r>
    </w:p>
    <w:p>
      <w:pPr>
        <w:spacing w:before="0" w:after="160" w:line="276" w:lineRule="auto"/>
      </w:pPr>
      <w:r>
        <w:rPr>
          <w:rFonts w:ascii="Georgia" w:hAnsi="Georgia"/>
          <w:color w:val="1A1714"/>
          <w:sz w:val="22"/>
        </w:rPr>
        <w:t xml:space="preserve">Caring for a sick or aging pet is an act of love, and it can also be exhausting. If you are tired, stretched thin, or half-wondering how much longer you can keep this up, you are not failing your pet. You are human. The resources below exist to help you care for your companion </w:t>
      </w:r>
      <w:r>
        <w:rPr>
          <w:rFonts w:ascii="Georgia" w:hAnsi="Georgia"/>
          <w:i/>
          <w:color w:val="1A1714"/>
          <w:sz w:val="22"/>
        </w:rPr>
        <w:t xml:space="preserve">and</w:t>
      </w:r>
      <w:r>
        <w:rPr>
          <w:rFonts w:ascii="Georgia" w:hAnsi="Georgia"/>
          <w:color w:val="1A1714"/>
          <w:sz w:val="22"/>
        </w:rPr>
        <w:t xml:space="preserve"> yourself. Please ask us about any of them. That is what we are here for.</w:t>
      </w:r>
    </w:p>
    <w:p>
      <w:pPr>
        <w:spacing w:before="120" w:after="200"/>
        <w:pBdr>
          <w:bottom w:val="single" w:sz="4" w:space="1" w:color="CCCCCC"/>
        </w:pBdr>
      </w:pPr>
    </w:p>
    <w:p>
      <w:pPr>
        <w:spacing w:before="280" w:after="100" w:line="276" w:lineRule="auto"/>
      </w:pPr>
      <w:r>
        <w:rPr>
          <w:rFonts w:ascii="Georgia" w:hAnsi="Georgia"/>
          <w:b/>
          <w:color w:val="2F4F4F"/>
          <w:sz w:val="26"/>
        </w:rPr>
        <w:t xml:space="preserve">Taking a Break Is Part of Good Care</w:t>
      </w:r>
    </w:p>
    <w:p>
      <w:pPr>
        <w:spacing w:before="0" w:after="100" w:line="276" w:lineRule="auto"/>
      </w:pPr>
      <w:r>
        <w:rPr>
          <w:rFonts w:ascii="Georgia" w:hAnsi="Georgia"/>
          <w:color w:val="1A1714"/>
          <w:sz w:val="22"/>
        </w:rPr>
        <w:t xml:space="preserve">You cannot pour from an empty cup. Trusted pet sitting, boarding, or daycare can give you room to attend the wedding, take the trip, or simply sleep. A break is not a lapse in your pet's care. It is part of it.</w:t>
      </w:r>
    </w:p>
    <w:p>
      <w:pPr>
        <w:spacing w:before="0" w:after="60" w:line="276" w:lineRule="auto"/>
      </w:pPr>
      <w:r>
        <w:rPr>
          <w:rFonts w:ascii="Georgia" w:hAnsi="Georgia"/>
          <w:i/>
          <w:color w:val="6B6B6B"/>
          <w:sz w:val="20"/>
        </w:rPr>
        <w:t xml:space="preserve">Options we recommend locally:</w:t>
      </w:r>
      <w:r>
        <w:rPr>
          <w:rFonts w:ascii="Georgia" w:hAnsi="Georgia"/>
          <w:u w:val="single"/>
          <w:color w:val="6B6B6B"/>
          <w:sz w:val="20"/>
        </w:rPr>
        <w:t xml:space="preserve">                                                            </w:t>
      </w:r>
    </w:p>
    <w:p>
      <w:pPr>
        <w:spacing w:before="280" w:after="100" w:line="276" w:lineRule="auto"/>
      </w:pPr>
      <w:r>
        <w:rPr>
          <w:rFonts w:ascii="Georgia" w:hAnsi="Georgia"/>
          <w:b/>
          <w:color w:val="2F4F4F"/>
          <w:sz w:val="26"/>
        </w:rPr>
        <w:t xml:space="preserve">Understanding Your Pet's Quality of Life</w:t>
      </w:r>
    </w:p>
    <w:p>
      <w:pPr>
        <w:spacing w:before="0" w:after="120" w:line="276" w:lineRule="auto"/>
      </w:pPr>
      <w:r>
        <w:rPr>
          <w:rFonts w:ascii="Georgia" w:hAnsi="Georgia"/>
          <w:color w:val="1A1714"/>
          <w:sz w:val="22"/>
        </w:rPr>
        <w:t xml:space="preserve">When you are close to the day-to-day, it can be hard to see the bigger picture. These tools give you something concrete to hold onto, so the decisions ahead come from clear information rather than a hard moment at three in the morning.</w:t>
      </w:r>
    </w:p>
    <w:p>
      <w:pPr>
        <w:spacing w:before="0" w:after="100" w:line="276" w:lineRule="auto"/>
        <w:ind w:left="200"/>
      </w:pPr>
      <w:r>
        <w:rPr>
          <w:rFonts w:ascii="Georgia" w:hAnsi="Georgia"/>
          <w:color w:val="1A1714"/>
          <w:sz w:val="20"/>
        </w:rPr>
        <w:t xml:space="preserve">•  </w:t>
      </w:r>
      <w:r>
        <w:rPr>
          <w:rFonts w:ascii="Georgia" w:hAnsi="Georgia"/>
          <w:b/>
          <w:color w:val="1A1714"/>
          <w:sz w:val="20"/>
        </w:rPr>
        <w:t xml:space="preserve">Ohio State’s "How Will I Know?" guide</w:t>
      </w:r>
      <w:r>
        <w:rPr>
          <w:rFonts w:ascii="Georgia" w:hAnsi="Georgia"/>
          <w:color w:val="1A1714"/>
          <w:sz w:val="20"/>
        </w:rPr>
        <w:t xml:space="preserve"> — a gentle walk through the decision and the grief that comes with it.  </w:t>
      </w:r>
      <w:hyperlink r:id="rId10">
        <w:r>
          <w:rPr>
            <w:rFonts w:ascii="Georgia" w:hAnsi="Georgia"/>
            <w:color w:val="B85C2A"/>
            <w:u w:val="single"/>
            <w:sz w:val="20"/>
          </w:rPr>
          <w:t xml:space="preserve">vmc.vet.osu.edu</w:t>
        </w:r>
      </w:hyperlink>
    </w:p>
    <w:p>
      <w:pPr>
        <w:spacing w:before="0" w:after="100" w:line="276" w:lineRule="auto"/>
        <w:ind w:left="200"/>
      </w:pPr>
      <w:r>
        <w:rPr>
          <w:rFonts w:ascii="Georgia" w:hAnsi="Georgia"/>
          <w:color w:val="1A1714"/>
          <w:sz w:val="20"/>
        </w:rPr>
        <w:t xml:space="preserve">•  </w:t>
      </w:r>
      <w:r>
        <w:rPr>
          <w:rFonts w:ascii="Georgia" w:hAnsi="Georgia"/>
          <w:b/>
          <w:color w:val="1A1714"/>
          <w:sz w:val="20"/>
        </w:rPr>
        <w:t xml:space="preserve">The Quality of Life Scale (HHHHHMM)</w:t>
      </w:r>
      <w:r>
        <w:rPr>
          <w:rFonts w:ascii="Georgia" w:hAnsi="Georgia"/>
          <w:color w:val="1A1714"/>
          <w:sz w:val="20"/>
        </w:rPr>
        <w:t xml:space="preserve"> — a simple scored checklist to track how your pet is doing over time.  </w:t>
      </w:r>
      <w:hyperlink r:id="rId11">
        <w:r>
          <w:rPr>
            <w:rFonts w:ascii="Georgia" w:hAnsi="Georgia"/>
            <w:color w:val="B85C2A"/>
            <w:u w:val="single"/>
            <w:sz w:val="20"/>
          </w:rPr>
          <w:t xml:space="preserve">caringpathways.com</w:t>
        </w:r>
      </w:hyperlink>
    </w:p>
    <w:p>
      <w:pPr>
        <w:spacing w:before="0" w:after="100" w:line="276" w:lineRule="auto"/>
        <w:ind w:left="200"/>
      </w:pPr>
      <w:r>
        <w:rPr>
          <w:rFonts w:ascii="Georgia" w:hAnsi="Georgia"/>
          <w:color w:val="1A1714"/>
          <w:sz w:val="20"/>
        </w:rPr>
        <w:t xml:space="preserve">•  </w:t>
      </w:r>
      <w:r>
        <w:rPr>
          <w:rFonts w:ascii="Georgia" w:hAnsi="Georgia"/>
          <w:b/>
          <w:color w:val="1A1714"/>
          <w:sz w:val="20"/>
        </w:rPr>
        <w:t xml:space="preserve">IAAHPC resource hub</w:t>
      </w:r>
      <w:r>
        <w:rPr>
          <w:rFonts w:ascii="Georgia" w:hAnsi="Georgia"/>
          <w:color w:val="1A1714"/>
          <w:sz w:val="20"/>
        </w:rPr>
        <w:t xml:space="preserve"> — quality-of-life scales, pain scales, and support gathered in one place.  </w:t>
      </w:r>
      <w:hyperlink r:id="rId12">
        <w:r>
          <w:rPr>
            <w:rFonts w:ascii="Georgia" w:hAnsi="Georgia"/>
            <w:color w:val="B85C2A"/>
            <w:u w:val="single"/>
            <w:sz w:val="20"/>
          </w:rPr>
          <w:t xml:space="preserve">iaahpc.org</w:t>
        </w:r>
      </w:hyperlink>
    </w:p>
    <w:p>
      <w:pPr>
        <w:spacing w:before="280" w:after="100" w:line="276" w:lineRule="auto"/>
      </w:pPr>
      <w:r>
        <w:rPr>
          <w:rFonts w:ascii="Georgia" w:hAnsi="Georgia"/>
          <w:b/>
          <w:color w:val="2F4F4F"/>
          <w:sz w:val="26"/>
        </w:rPr>
        <w:t xml:space="preserve">Support for the Grief You Feel Now</w:t>
      </w:r>
    </w:p>
    <w:p>
      <w:pPr>
        <w:spacing w:before="0" w:after="100" w:line="276" w:lineRule="auto"/>
      </w:pPr>
      <w:r>
        <w:rPr>
          <w:rFonts w:ascii="Georgia" w:hAnsi="Georgia"/>
          <w:color w:val="1A1714"/>
          <w:sz w:val="22"/>
        </w:rPr>
        <w:t xml:space="preserve">Grief often begins before the loss does, and that is normal, not disloyal. Pet-loss support lines and counselors are there for this stretch, not only afterward. You do not have to carry it alone.</w:t>
      </w:r>
    </w:p>
    <w:p>
      <w:pPr>
        <w:spacing w:before="0" w:after="60" w:line="276" w:lineRule="auto"/>
      </w:pPr>
      <w:r>
        <w:rPr>
          <w:rFonts w:ascii="Georgia" w:hAnsi="Georgia"/>
          <w:i/>
          <w:color w:val="6B6B6B"/>
          <w:sz w:val="20"/>
        </w:rPr>
        <w:t xml:space="preserve">Support line or counselor we suggest:</w:t>
      </w:r>
      <w:r>
        <w:rPr>
          <w:rFonts w:ascii="Georgia" w:hAnsi="Georgia"/>
          <w:u w:val="single"/>
          <w:color w:val="6B6B6B"/>
          <w:sz w:val="20"/>
        </w:rPr>
        <w:t xml:space="preserve">                                                            </w:t>
      </w:r>
    </w:p>
    <w:p>
      <w:pPr>
        <w:spacing w:before="280" w:after="100" w:line="276" w:lineRule="auto"/>
      </w:pPr>
      <w:r>
        <w:rPr>
          <w:rFonts w:ascii="Georgia" w:hAnsi="Georgia"/>
          <w:b/>
          <w:color w:val="2F4F4F"/>
          <w:sz w:val="26"/>
        </w:rPr>
        <w:t xml:space="preserve">Care and Comfort at Home</w:t>
      </w:r>
    </w:p>
    <w:p>
      <w:pPr>
        <w:spacing w:before="0" w:after="100" w:line="276" w:lineRule="auto"/>
      </w:pPr>
      <w:r>
        <w:rPr>
          <w:rFonts w:ascii="Georgia" w:hAnsi="Georgia"/>
          <w:color w:val="1A1714"/>
          <w:sz w:val="22"/>
        </w:rPr>
        <w:t xml:space="preserve">For families who want their pet's final chapter to happen at home, on the couch, in the sun, in-home hospice and palliative care make that possible. Ask us whether it is a fit for your pet.</w:t>
      </w:r>
    </w:p>
    <w:p>
      <w:pPr>
        <w:spacing w:before="0" w:after="60" w:line="276" w:lineRule="auto"/>
      </w:pPr>
      <w:r>
        <w:rPr>
          <w:rFonts w:ascii="Georgia" w:hAnsi="Georgia"/>
          <w:i/>
          <w:color w:val="6B6B6B"/>
          <w:sz w:val="20"/>
        </w:rPr>
        <w:t xml:space="preserve">In-home providers we work with:</w:t>
      </w:r>
      <w:r>
        <w:rPr>
          <w:rFonts w:ascii="Georgia" w:hAnsi="Georgia"/>
          <w:u w:val="single"/>
          <w:color w:val="6B6B6B"/>
          <w:sz w:val="20"/>
        </w:rPr>
        <w:t xml:space="preserve">                                                            </w:t>
      </w:r>
    </w:p>
    <w:p>
      <w:pPr>
        <w:spacing w:before="120" w:after="200"/>
        <w:pBdr>
          <w:bottom w:val="single" w:sz="4" w:space="1" w:color="CCCCCC"/>
        </w:pBdr>
      </w:pPr>
    </w:p>
    <w:p>
      <w:pPr>
        <w:spacing w:before="0" w:after="140" w:line="276" w:lineRule="auto"/>
        <w:jc w:val="center"/>
      </w:pPr>
      <w:r>
        <w:rPr>
          <w:rFonts w:ascii="Georgia" w:hAnsi="Georgia"/>
          <w:i/>
          <w:color w:val="444444"/>
          <w:sz w:val="21"/>
        </w:rPr>
        <w:t xml:space="preserve">Whatever you decide, know this: you brought your pet to us because you care. That was never in question.</w:t>
      </w:r>
    </w:p>
    <w:p>
      <w:pPr>
        <w:spacing w:before="0" w:after="0" w:line="276" w:lineRule="auto"/>
        <w:jc w:val="center"/>
      </w:pPr>
      <w:r>
        <w:rPr>
          <w:rFonts w:ascii="Georgia" w:hAnsi="Georgia"/>
          <w:color w:val="888888"/>
          <w:sz w:val="17"/>
        </w:rPr>
        <w:t xml:space="preserve">Adapted from “The Greatest Gift We Can Give Is Permission” · The Gray Oak Journal · </w:t>
      </w:r>
      <w:hyperlink r:id="rId13">
        <w:r>
          <w:rPr>
            <w:rFonts w:ascii="Georgia" w:hAnsi="Georgia"/>
            <w:color w:val="B85C2A"/>
            <w:u w:val="single"/>
            <w:sz w:val="17"/>
          </w:rPr>
          <w:t xml:space="preserve">grayoakjournal.com</w:t>
        </w:r>
      </w:hyperlink>
    </w:p>
    <w:sectPr>
      <w:pgSz w:w="12240" w:h="15840"/>
      <w:pgMar w:top="1080" w:right="1080" w:bottom="1080" w:left="108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hAnsi="Georgia"/>
        <w:sz w:val="22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10" Type="http://schemas.openxmlformats.org/officeDocument/2006/relationships/hyperlink" Target="https://vmc.vet.osu.edu/sites/default/files/documents/how-will-i-know_rev_mar2024ms_0.pdf" TargetMode="External"/><Relationship Id="rId11" Type="http://schemas.openxmlformats.org/officeDocument/2006/relationships/hyperlink" Target="https://caringpathways.com/wp-content/uploads/2018/02/QualityofLifeScale.pdf" TargetMode="External"/><Relationship Id="rId12" Type="http://schemas.openxmlformats.org/officeDocument/2006/relationships/hyperlink" Target="https://iaahpc.org/helpful-links/" TargetMode="External"/><Relationship Id="rId13" Type="http://schemas.openxmlformats.org/officeDocument/2006/relationships/hyperlink" Target="https://grayoakjournal.com/the-greatest-gift-we-can-give-is-permission/" TargetMode="External"/></Relationships>
</file>